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3227" w:rsidRPr="005033A7" w:rsidRDefault="005033A7" w:rsidP="005033A7">
      <w:pPr>
        <w:jc w:val="both"/>
        <w:rPr>
          <w:sz w:val="22"/>
          <w:szCs w:val="22"/>
          <w:lang w:val="en-US"/>
        </w:rPr>
      </w:pPr>
      <w:bookmarkStart w:id="0" w:name="_GoBack"/>
      <w:r w:rsidRPr="005033A7">
        <w:rPr>
          <w:sz w:val="22"/>
          <w:szCs w:val="22"/>
          <w:lang w:val="en-US"/>
        </w:rPr>
        <w:t>Brazilian version of the</w:t>
      </w:r>
      <w:r w:rsidR="00695B62" w:rsidRPr="005033A7">
        <w:rPr>
          <w:sz w:val="22"/>
          <w:szCs w:val="22"/>
          <w:lang w:val="en-US"/>
        </w:rPr>
        <w:t xml:space="preserve"> </w:t>
      </w:r>
      <w:r w:rsidR="00095683" w:rsidRPr="005033A7">
        <w:rPr>
          <w:b/>
          <w:sz w:val="22"/>
          <w:szCs w:val="22"/>
          <w:lang w:val="en-US"/>
        </w:rPr>
        <w:t xml:space="preserve">CALGARY-CAMBRIDGE </w:t>
      </w:r>
      <w:r w:rsidR="00543056" w:rsidRPr="005033A7">
        <w:rPr>
          <w:b/>
          <w:sz w:val="22"/>
          <w:szCs w:val="22"/>
          <w:lang w:val="en-US"/>
        </w:rPr>
        <w:t>OBSERVATION GUIDE</w:t>
      </w:r>
      <w:r w:rsidR="00543056" w:rsidRPr="005033A7">
        <w:rPr>
          <w:sz w:val="22"/>
          <w:szCs w:val="22"/>
          <w:lang w:val="en-US"/>
        </w:rPr>
        <w:t xml:space="preserve"> </w:t>
      </w:r>
      <w:r w:rsidR="00695B62" w:rsidRPr="005033A7">
        <w:rPr>
          <w:sz w:val="22"/>
          <w:szCs w:val="22"/>
          <w:lang w:val="en-US"/>
        </w:rPr>
        <w:t>(CCOG)</w:t>
      </w:r>
      <w:r w:rsidR="00095683" w:rsidRPr="005033A7">
        <w:rPr>
          <w:sz w:val="22"/>
          <w:szCs w:val="22"/>
          <w:lang w:val="en-US"/>
        </w:rPr>
        <w:t xml:space="preserve">          </w:t>
      </w:r>
    </w:p>
    <w:bookmarkEnd w:id="0"/>
    <w:tbl>
      <w:tblPr>
        <w:tblW w:w="9112" w:type="dxa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551"/>
        <w:gridCol w:w="850"/>
        <w:gridCol w:w="851"/>
        <w:gridCol w:w="860"/>
      </w:tblGrid>
      <w:tr w:rsidR="00695B62" w:rsidRPr="00002827" w:rsidTr="002D1E06">
        <w:trPr>
          <w:trHeight w:val="820"/>
        </w:trPr>
        <w:tc>
          <w:tcPr>
            <w:tcW w:w="6551" w:type="dxa"/>
          </w:tcPr>
          <w:p w:rsidR="00695B62" w:rsidRPr="005033A7" w:rsidRDefault="00695B62" w:rsidP="002D1E06">
            <w:pPr>
              <w:spacing w:before="10"/>
              <w:rPr>
                <w:b/>
                <w:color w:val="000000" w:themeColor="text1"/>
                <w:sz w:val="22"/>
                <w:szCs w:val="22"/>
                <w:lang w:val="en-US"/>
              </w:rPr>
            </w:pPr>
          </w:p>
          <w:p w:rsidR="00695B62" w:rsidRPr="00002827" w:rsidRDefault="00695B62" w:rsidP="002D1E06">
            <w:pPr>
              <w:ind w:left="1855"/>
              <w:rPr>
                <w:b/>
                <w:color w:val="000000" w:themeColor="text1"/>
                <w:sz w:val="22"/>
                <w:szCs w:val="22"/>
              </w:rPr>
            </w:pPr>
            <w:r w:rsidRPr="00002827">
              <w:rPr>
                <w:b/>
                <w:color w:val="000000" w:themeColor="text1"/>
                <w:sz w:val="22"/>
                <w:szCs w:val="22"/>
              </w:rPr>
              <w:t>INICIANDO A CONSULTA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ind w:left="103" w:right="84"/>
              <w:rPr>
                <w:color w:val="000000" w:themeColor="text1"/>
                <w:sz w:val="20"/>
                <w:szCs w:val="20"/>
              </w:rPr>
            </w:pPr>
            <w:r w:rsidRPr="00002827">
              <w:rPr>
                <w:color w:val="000000" w:themeColor="text1"/>
                <w:sz w:val="20"/>
                <w:szCs w:val="20"/>
              </w:rPr>
              <w:t>Não</w:t>
            </w:r>
          </w:p>
          <w:p w:rsidR="00695B62" w:rsidRPr="00002827" w:rsidRDefault="00695B62" w:rsidP="002D1E06">
            <w:pPr>
              <w:ind w:right="84"/>
              <w:rPr>
                <w:b/>
                <w:color w:val="000000" w:themeColor="text1"/>
                <w:sz w:val="22"/>
                <w:szCs w:val="22"/>
              </w:rPr>
            </w:pPr>
            <w:r w:rsidRPr="00002827">
              <w:rPr>
                <w:b/>
                <w:color w:val="000000" w:themeColor="text1"/>
                <w:sz w:val="22"/>
                <w:szCs w:val="22"/>
              </w:rPr>
              <w:t xml:space="preserve">  (0)</w:t>
            </w:r>
          </w:p>
        </w:tc>
        <w:tc>
          <w:tcPr>
            <w:tcW w:w="851" w:type="dxa"/>
          </w:tcPr>
          <w:p w:rsidR="00695B62" w:rsidRPr="00002827" w:rsidRDefault="00695B62" w:rsidP="002D1E06">
            <w:pPr>
              <w:ind w:left="103" w:right="83"/>
              <w:rPr>
                <w:color w:val="000000" w:themeColor="text1"/>
                <w:sz w:val="22"/>
                <w:szCs w:val="22"/>
              </w:rPr>
            </w:pPr>
            <w:r w:rsidRPr="00002827">
              <w:rPr>
                <w:color w:val="000000" w:themeColor="text1"/>
                <w:sz w:val="22"/>
                <w:szCs w:val="22"/>
              </w:rPr>
              <w:t>Sim, mas</w:t>
            </w:r>
          </w:p>
          <w:p w:rsidR="00695B62" w:rsidRPr="00002827" w:rsidRDefault="00695B62" w:rsidP="002D1E06">
            <w:pPr>
              <w:ind w:left="103" w:right="83"/>
              <w:rPr>
                <w:color w:val="000000" w:themeColor="text1"/>
                <w:sz w:val="22"/>
                <w:szCs w:val="22"/>
              </w:rPr>
            </w:pPr>
            <w:r w:rsidRPr="00002827">
              <w:rPr>
                <w:color w:val="000000" w:themeColor="text1"/>
                <w:sz w:val="22"/>
                <w:szCs w:val="22"/>
              </w:rPr>
              <w:t>(1)</w:t>
            </w:r>
          </w:p>
          <w:p w:rsidR="00695B62" w:rsidRPr="00002827" w:rsidRDefault="00695B62" w:rsidP="002D1E06">
            <w:pPr>
              <w:ind w:left="103" w:right="83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ind w:left="103" w:right="128"/>
              <w:rPr>
                <w:color w:val="000000" w:themeColor="text1"/>
                <w:sz w:val="22"/>
                <w:szCs w:val="22"/>
              </w:rPr>
            </w:pPr>
            <w:r w:rsidRPr="00002827">
              <w:rPr>
                <w:color w:val="000000" w:themeColor="text1"/>
                <w:sz w:val="22"/>
                <w:szCs w:val="22"/>
              </w:rPr>
              <w:t>Sim (2)</w:t>
            </w:r>
          </w:p>
        </w:tc>
      </w:tr>
      <w:tr w:rsidR="00695B62" w:rsidRPr="00002827" w:rsidTr="002D1E06">
        <w:trPr>
          <w:trHeight w:val="36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1. Cumprimenta o paciente.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2. Apresenta-se e menciona a sua função.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3. Demonstra respeito.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bookmarkStart w:id="1" w:name="_gjdgxs" w:colFirst="0" w:colLast="0"/>
            <w:bookmarkEnd w:id="1"/>
            <w:r w:rsidRPr="00002827">
              <w:rPr>
                <w:color w:val="000000" w:themeColor="text1"/>
              </w:rPr>
              <w:t>4. Confirma os motivos de consulta.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5. Negocia a agenda (motivos de consulta).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gridAfter w:val="1"/>
          <w:wAfter w:w="860" w:type="dxa"/>
          <w:trHeight w:val="560"/>
        </w:trPr>
        <w:tc>
          <w:tcPr>
            <w:tcW w:w="8252" w:type="dxa"/>
            <w:gridSpan w:val="3"/>
          </w:tcPr>
          <w:p w:rsidR="00695B62" w:rsidRPr="00002827" w:rsidRDefault="00695B62" w:rsidP="002D1E06">
            <w:pPr>
              <w:rPr>
                <w:b/>
                <w:color w:val="000000" w:themeColor="text1"/>
              </w:rPr>
            </w:pPr>
            <w:r w:rsidRPr="00002827">
              <w:rPr>
                <w:b/>
                <w:color w:val="000000" w:themeColor="text1"/>
              </w:rPr>
              <w:t xml:space="preserve">                                   OBTENDO INFORMAÇÕES</w:t>
            </w:r>
          </w:p>
          <w:p w:rsidR="00695B62" w:rsidRPr="00002827" w:rsidRDefault="00695B62" w:rsidP="002D1E06">
            <w:pPr>
              <w:ind w:right="2676"/>
              <w:rPr>
                <w:b/>
                <w:i/>
                <w:color w:val="000000" w:themeColor="text1"/>
                <w:sz w:val="22"/>
                <w:szCs w:val="22"/>
              </w:rPr>
            </w:pPr>
            <w:r w:rsidRPr="00002827">
              <w:rPr>
                <w:b/>
                <w:i/>
                <w:color w:val="000000" w:themeColor="text1"/>
                <w:sz w:val="22"/>
                <w:szCs w:val="22"/>
              </w:rPr>
              <w:t xml:space="preserve">                                       Exploração dos problemas</w:t>
            </w: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6. Encoraja o paciente a contar sua história.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7. Muda apropriadamente de questões abertas para fechadas.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8. Escuta atentamente.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9. Facilita respostas verbais e não verbais do paciente.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10. Utiliza perguntas e comentários facilmente compreensíveis.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11. Esclarece as declarações do paciente.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12. Define cronologia dos problemas.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gridAfter w:val="1"/>
          <w:wAfter w:w="860" w:type="dxa"/>
          <w:trHeight w:val="280"/>
        </w:trPr>
        <w:tc>
          <w:tcPr>
            <w:tcW w:w="8252" w:type="dxa"/>
            <w:gridSpan w:val="3"/>
          </w:tcPr>
          <w:p w:rsidR="00695B62" w:rsidRPr="00002827" w:rsidRDefault="00695B62" w:rsidP="002D1E06">
            <w:pPr>
              <w:ind w:left="1983"/>
              <w:rPr>
                <w:b/>
                <w:i/>
                <w:color w:val="000000" w:themeColor="text1"/>
                <w:sz w:val="22"/>
                <w:szCs w:val="22"/>
              </w:rPr>
            </w:pPr>
            <w:r w:rsidRPr="00002827">
              <w:rPr>
                <w:b/>
                <w:i/>
                <w:color w:val="000000" w:themeColor="text1"/>
                <w:sz w:val="22"/>
                <w:szCs w:val="22"/>
              </w:rPr>
              <w:t>Compreendendo a perspectiva do paciente</w:t>
            </w: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13. Determina e reconhece as ideias do paciente sobre a causa do problema.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14. Explora as preocupações do paciente sobre o problema.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15. Estimula que o paciente verbalize como se sente.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spacing w:line="360" w:lineRule="auto"/>
              <w:jc w:val="both"/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16. Percebe e responde às pistas verbais e não-verbais.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gridAfter w:val="1"/>
          <w:wAfter w:w="860" w:type="dxa"/>
          <w:trHeight w:val="280"/>
        </w:trPr>
        <w:tc>
          <w:tcPr>
            <w:tcW w:w="8252" w:type="dxa"/>
            <w:gridSpan w:val="3"/>
          </w:tcPr>
          <w:p w:rsidR="00695B62" w:rsidRPr="00002827" w:rsidRDefault="00695B62" w:rsidP="002D1E06">
            <w:pPr>
              <w:spacing w:line="275" w:lineRule="auto"/>
              <w:ind w:left="103" w:right="2676"/>
              <w:rPr>
                <w:b/>
                <w:i/>
                <w:color w:val="000000" w:themeColor="text1"/>
                <w:sz w:val="22"/>
                <w:szCs w:val="22"/>
              </w:rPr>
            </w:pPr>
            <w:r w:rsidRPr="00002827">
              <w:rPr>
                <w:b/>
                <w:i/>
                <w:color w:val="000000" w:themeColor="text1"/>
                <w:sz w:val="22"/>
                <w:szCs w:val="22"/>
              </w:rPr>
              <w:t xml:space="preserve">                                Estruturando a consulta</w:t>
            </w: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17. Resume ao final de uma linha específica de investigação.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18. Progride usando frases de transição entre os tópicos.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19. Estrutura uma sequência lógica.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20. Usa o tempo de maneira eficiente.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gridAfter w:val="1"/>
          <w:wAfter w:w="860" w:type="dxa"/>
          <w:trHeight w:val="280"/>
        </w:trPr>
        <w:tc>
          <w:tcPr>
            <w:tcW w:w="8252" w:type="dxa"/>
            <w:gridSpan w:val="3"/>
          </w:tcPr>
          <w:p w:rsidR="00695B62" w:rsidRPr="00002827" w:rsidRDefault="00695B62" w:rsidP="002D1E06">
            <w:pPr>
              <w:ind w:left="103" w:right="2676"/>
              <w:rPr>
                <w:b/>
                <w:i/>
                <w:color w:val="000000" w:themeColor="text1"/>
                <w:sz w:val="22"/>
                <w:szCs w:val="22"/>
              </w:rPr>
            </w:pPr>
            <w:r w:rsidRPr="00002827">
              <w:rPr>
                <w:b/>
                <w:i/>
                <w:color w:val="000000" w:themeColor="text1"/>
                <w:sz w:val="22"/>
                <w:szCs w:val="22"/>
              </w:rPr>
              <w:t xml:space="preserve">                                  Construindo a relação </w:t>
            </w: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21. Demonstra comportamento não verbal apropriado.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22. Se lê ou escreve, isto não interfere com o diálogo/comunicação.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23. Não demonstra preconceito ou julgamento.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24. Demonstra empatia e apoio ao paciente.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25. Demonstra confiança.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gridAfter w:val="1"/>
          <w:wAfter w:w="860" w:type="dxa"/>
          <w:trHeight w:val="280"/>
        </w:trPr>
        <w:tc>
          <w:tcPr>
            <w:tcW w:w="8252" w:type="dxa"/>
            <w:gridSpan w:val="3"/>
          </w:tcPr>
          <w:p w:rsidR="00695B62" w:rsidRPr="00002827" w:rsidRDefault="00695B62" w:rsidP="002D1E06">
            <w:pPr>
              <w:ind w:left="103" w:right="2676"/>
              <w:rPr>
                <w:b/>
                <w:color w:val="000000" w:themeColor="text1"/>
                <w:sz w:val="22"/>
                <w:szCs w:val="22"/>
              </w:rPr>
            </w:pPr>
            <w:r w:rsidRPr="00002827">
              <w:rPr>
                <w:b/>
                <w:i/>
                <w:color w:val="000000" w:themeColor="text1"/>
                <w:sz w:val="22"/>
                <w:szCs w:val="22"/>
              </w:rPr>
              <w:t xml:space="preserve">                              </w:t>
            </w:r>
            <w:r w:rsidRPr="00002827">
              <w:rPr>
                <w:b/>
                <w:color w:val="000000" w:themeColor="text1"/>
                <w:sz w:val="22"/>
                <w:szCs w:val="22"/>
              </w:rPr>
              <w:t>ENCERRANDO A CONSULTA</w:t>
            </w: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26. Encoraja o paciente a discutir mais algum ponto adicional.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27. Encerra a consulta com um breve resumo.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  <w:tr w:rsidR="00695B62" w:rsidRPr="00002827" w:rsidTr="002D1E06">
        <w:trPr>
          <w:trHeight w:val="280"/>
        </w:trPr>
        <w:tc>
          <w:tcPr>
            <w:tcW w:w="65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  <w:r w:rsidRPr="00002827">
              <w:rPr>
                <w:color w:val="000000" w:themeColor="text1"/>
              </w:rPr>
              <w:t>28. Pactua com o paciente os próximos passos.</w:t>
            </w:r>
          </w:p>
        </w:tc>
        <w:tc>
          <w:tcPr>
            <w:tcW w:w="85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  <w:tc>
          <w:tcPr>
            <w:tcW w:w="860" w:type="dxa"/>
          </w:tcPr>
          <w:p w:rsidR="00695B62" w:rsidRPr="00002827" w:rsidRDefault="00695B62" w:rsidP="002D1E06">
            <w:pPr>
              <w:rPr>
                <w:color w:val="000000" w:themeColor="text1"/>
              </w:rPr>
            </w:pPr>
          </w:p>
        </w:tc>
      </w:tr>
    </w:tbl>
    <w:p w:rsidR="00DD38EE" w:rsidRPr="005033A7" w:rsidRDefault="00DD38EE" w:rsidP="00DD38EE">
      <w:pPr>
        <w:jc w:val="both"/>
        <w:rPr>
          <w:color w:val="000000" w:themeColor="text1"/>
          <w:sz w:val="22"/>
          <w:szCs w:val="22"/>
          <w:lang w:val="en-US"/>
        </w:rPr>
      </w:pPr>
      <w:r w:rsidRPr="00C25148">
        <w:rPr>
          <w:color w:val="000000" w:themeColor="text1"/>
          <w:sz w:val="22"/>
          <w:szCs w:val="22"/>
          <w:lang w:val="en-US"/>
        </w:rPr>
        <w:t xml:space="preserve">KURTZ, S.; SILVERMAN, J.; DRAPER, J. Teaching and learning communication skills in medicine. 2nd ed. Oxford: Radcliffe, </w:t>
      </w:r>
      <w:r w:rsidR="00095683">
        <w:rPr>
          <w:color w:val="000000" w:themeColor="text1"/>
          <w:sz w:val="22"/>
          <w:szCs w:val="22"/>
          <w:lang w:val="en-US"/>
        </w:rPr>
        <w:t xml:space="preserve">p 336, </w:t>
      </w:r>
      <w:r w:rsidR="00CF6E23">
        <w:rPr>
          <w:color w:val="000000" w:themeColor="text1"/>
          <w:sz w:val="22"/>
          <w:szCs w:val="22"/>
          <w:lang w:val="en-US"/>
        </w:rPr>
        <w:t>2005.</w:t>
      </w:r>
    </w:p>
    <w:sectPr w:rsidR="00DD38EE" w:rsidRPr="005033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B62"/>
    <w:rsid w:val="00095683"/>
    <w:rsid w:val="00170C0C"/>
    <w:rsid w:val="005033A7"/>
    <w:rsid w:val="00543056"/>
    <w:rsid w:val="00631B3C"/>
    <w:rsid w:val="00695B62"/>
    <w:rsid w:val="00921278"/>
    <w:rsid w:val="00A1023E"/>
    <w:rsid w:val="00BA3227"/>
    <w:rsid w:val="00BD04C4"/>
    <w:rsid w:val="00C25148"/>
    <w:rsid w:val="00CF6E23"/>
    <w:rsid w:val="00D912AB"/>
    <w:rsid w:val="00DD38EE"/>
    <w:rsid w:val="00DE5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F8253"/>
  <w15:chartTrackingRefBased/>
  <w15:docId w15:val="{39A1B025-9EFD-4A66-B4A6-5CC4EEE9D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695B62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rsid w:val="00695B62"/>
    <w:pPr>
      <w:spacing w:before="100" w:after="100"/>
      <w:outlineLvl w:val="0"/>
    </w:pPr>
    <w:rPr>
      <w:b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95B62"/>
    <w:rPr>
      <w:rFonts w:ascii="Times New Roman" w:eastAsia="Times New Roman" w:hAnsi="Times New Roman" w:cs="Times New Roman"/>
      <w:b/>
      <w:color w:val="000000"/>
      <w:sz w:val="48"/>
      <w:szCs w:val="4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316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Dohms</dc:creator>
  <cp:keywords/>
  <dc:description/>
  <cp:lastModifiedBy>Marcela Dohms</cp:lastModifiedBy>
  <cp:revision>2</cp:revision>
  <cp:lastPrinted>2018-08-29T08:11:00Z</cp:lastPrinted>
  <dcterms:created xsi:type="dcterms:W3CDTF">2018-10-08T11:21:00Z</dcterms:created>
  <dcterms:modified xsi:type="dcterms:W3CDTF">2018-10-08T11:21:00Z</dcterms:modified>
</cp:coreProperties>
</file>